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gridCol w:w="779"/>
        <w:gridCol w:w="780"/>
        <w:gridCol w:w="779"/>
        <w:gridCol w:w="780"/>
        <w:gridCol w:w="779"/>
        <w:gridCol w:w="780"/>
      </w:tblGrid>
      <w:tr w:rsidR="0026636A" w:rsidRPr="00D5239E" w14:paraId="4D59B5CF" w14:textId="77777777" w:rsidTr="00234516">
        <w:trPr>
          <w:cantSplit/>
          <w:tblHeader/>
        </w:trPr>
        <w:tc>
          <w:tcPr>
            <w:tcW w:w="2235"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268"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5244"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38" w:type="dxa"/>
            <w:gridSpan w:val="3"/>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39" w:type="dxa"/>
            <w:gridSpan w:val="3"/>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234516">
        <w:tc>
          <w:tcPr>
            <w:tcW w:w="2235"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268"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5244"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79" w:type="dxa"/>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0" w:type="dxa"/>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26636A" w:rsidRPr="00D5239E" w14:paraId="2CB93088" w14:textId="77777777" w:rsidTr="00234516">
        <w:tc>
          <w:tcPr>
            <w:tcW w:w="2235" w:type="dxa"/>
            <w:shd w:val="clear" w:color="auto" w:fill="auto"/>
          </w:tcPr>
          <w:p w14:paraId="5E6249EC" w14:textId="4D2E789E" w:rsidR="0026636A" w:rsidRPr="00D5239E" w:rsidRDefault="00BC3607" w:rsidP="00D5239E">
            <w:pPr>
              <w:spacing w:after="0" w:line="240" w:lineRule="auto"/>
              <w:rPr>
                <w:rFonts w:ascii="Arial Narrow" w:hAnsi="Arial Narrow" w:cs="Calibri"/>
                <w:sz w:val="20"/>
                <w:szCs w:val="20"/>
              </w:rPr>
            </w:pPr>
            <w:r>
              <w:rPr>
                <w:rFonts w:ascii="Arial Narrow" w:hAnsi="Arial Narrow" w:cs="Calibri"/>
                <w:sz w:val="20"/>
                <w:szCs w:val="20"/>
              </w:rPr>
              <w:t xml:space="preserve">Entering a domestic property </w:t>
            </w:r>
            <w:r w:rsidR="0038722A">
              <w:rPr>
                <w:rFonts w:ascii="Arial Narrow" w:hAnsi="Arial Narrow" w:cs="Calibri"/>
                <w:sz w:val="20"/>
                <w:szCs w:val="20"/>
              </w:rPr>
              <w:t xml:space="preserve">or care home </w:t>
            </w:r>
            <w:r>
              <w:rPr>
                <w:rFonts w:ascii="Arial Narrow" w:hAnsi="Arial Narrow" w:cs="Calibri"/>
                <w:sz w:val="20"/>
                <w:szCs w:val="20"/>
              </w:rPr>
              <w:t>with occupants unknown or mentally unstable</w:t>
            </w:r>
          </w:p>
        </w:tc>
        <w:tc>
          <w:tcPr>
            <w:tcW w:w="2268" w:type="dxa"/>
            <w:shd w:val="clear" w:color="auto" w:fill="auto"/>
          </w:tcPr>
          <w:p w14:paraId="7BBAD30C" w14:textId="2C380295" w:rsidR="0026636A" w:rsidRPr="00D5239E" w:rsidRDefault="00BC3607" w:rsidP="00837E31">
            <w:pPr>
              <w:spacing w:after="0" w:line="240" w:lineRule="auto"/>
              <w:rPr>
                <w:rFonts w:ascii="Arial Narrow" w:hAnsi="Arial Narrow" w:cs="Calibri"/>
                <w:sz w:val="20"/>
                <w:szCs w:val="20"/>
              </w:rPr>
            </w:pPr>
            <w:r>
              <w:rPr>
                <w:rFonts w:ascii="Arial Narrow" w:hAnsi="Arial Narrow" w:cs="Calibri"/>
                <w:sz w:val="20"/>
                <w:szCs w:val="20"/>
              </w:rPr>
              <w:t>Volunteer/clergy: physically attacked and/or prevented from leaving by the resident</w:t>
            </w:r>
          </w:p>
        </w:tc>
        <w:tc>
          <w:tcPr>
            <w:tcW w:w="5244" w:type="dxa"/>
            <w:shd w:val="clear" w:color="auto" w:fill="auto"/>
          </w:tcPr>
          <w:p w14:paraId="493F7E47" w14:textId="436B7990" w:rsidR="00970016" w:rsidRPr="00D5239E" w:rsidRDefault="003064EE" w:rsidP="003064EE">
            <w:pPr>
              <w:pStyle w:val="ListParagraph"/>
              <w:spacing w:after="0" w:line="240" w:lineRule="auto"/>
              <w:ind w:left="34"/>
              <w:rPr>
                <w:rFonts w:ascii="Arial Narrow" w:hAnsi="Arial Narrow" w:cs="Calibri"/>
                <w:sz w:val="20"/>
                <w:szCs w:val="20"/>
              </w:rPr>
            </w:pPr>
            <w:r>
              <w:rPr>
                <w:rFonts w:ascii="Arial Narrow" w:hAnsi="Arial Narrow" w:cs="Calibri"/>
                <w:sz w:val="20"/>
                <w:szCs w:val="20"/>
              </w:rPr>
              <w:t xml:space="preserve">Prepare by finding out as much as possible about the person being visited; </w:t>
            </w:r>
            <w:r w:rsidR="0075046F">
              <w:rPr>
                <w:rFonts w:ascii="Arial Narrow" w:hAnsi="Arial Narrow" w:cs="Calibri"/>
                <w:sz w:val="20"/>
                <w:szCs w:val="20"/>
              </w:rPr>
              <w:t xml:space="preserve">visit with a colleague if possible; </w:t>
            </w:r>
            <w:r>
              <w:rPr>
                <w:rFonts w:ascii="Arial Narrow" w:hAnsi="Arial Narrow" w:cs="Calibri"/>
                <w:sz w:val="20"/>
                <w:szCs w:val="20"/>
              </w:rPr>
              <w:t xml:space="preserve">before entering the property, familiarise yourself with the area, identify possible exits, look for possible dangers e.g. dogs and park in a way that allows a fast exit e.g. reverse into the drive; have a brief conversation on the doorstep to assess the mental state of the occupant before entering; </w:t>
            </w:r>
            <w:r w:rsidR="0075046F">
              <w:rPr>
                <w:rFonts w:ascii="Arial Narrow" w:hAnsi="Arial Narrow" w:cs="Calibri"/>
                <w:sz w:val="20"/>
                <w:szCs w:val="20"/>
              </w:rPr>
              <w:t xml:space="preserve">choose a seat with a clear path to the exit without having to pass the occupant; </w:t>
            </w:r>
            <w:r>
              <w:rPr>
                <w:rFonts w:ascii="Arial Narrow" w:hAnsi="Arial Narrow" w:cs="Calibri"/>
                <w:sz w:val="20"/>
                <w:szCs w:val="20"/>
              </w:rPr>
              <w:t>r</w:t>
            </w:r>
            <w:r w:rsidR="0075046F">
              <w:rPr>
                <w:rFonts w:ascii="Arial Narrow" w:hAnsi="Arial Narrow" w:cs="Calibri"/>
                <w:sz w:val="20"/>
                <w:szCs w:val="20"/>
              </w:rPr>
              <w:t>ead</w:t>
            </w:r>
            <w:r>
              <w:rPr>
                <w:rFonts w:ascii="Arial Narrow" w:hAnsi="Arial Narrow" w:cs="Calibri"/>
                <w:sz w:val="20"/>
                <w:szCs w:val="20"/>
              </w:rPr>
              <w:t xml:space="preserve"> understand </w:t>
            </w:r>
            <w:r w:rsidR="0075046F">
              <w:rPr>
                <w:rFonts w:ascii="Arial Narrow" w:hAnsi="Arial Narrow" w:cs="Calibri"/>
                <w:sz w:val="20"/>
                <w:szCs w:val="20"/>
              </w:rPr>
              <w:t xml:space="preserve">and adopt </w:t>
            </w:r>
            <w:r>
              <w:rPr>
                <w:rFonts w:ascii="Arial Narrow" w:hAnsi="Arial Narrow" w:cs="Calibri"/>
                <w:sz w:val="20"/>
                <w:szCs w:val="20"/>
              </w:rPr>
              <w:t xml:space="preserve">the </w:t>
            </w:r>
            <w:r w:rsidR="0075046F">
              <w:rPr>
                <w:rFonts w:ascii="Arial Narrow" w:hAnsi="Arial Narrow" w:cs="Calibri"/>
                <w:i/>
                <w:sz w:val="20"/>
                <w:szCs w:val="20"/>
              </w:rPr>
              <w:t>Safety Tips for Working Alone.</w:t>
            </w:r>
          </w:p>
        </w:tc>
        <w:tc>
          <w:tcPr>
            <w:tcW w:w="779" w:type="dxa"/>
            <w:shd w:val="clear" w:color="auto" w:fill="auto"/>
            <w:vAlign w:val="center"/>
          </w:tcPr>
          <w:p w14:paraId="23DC3AA5" w14:textId="4BC71628" w:rsidR="0026636A" w:rsidRPr="00D5239E" w:rsidRDefault="006F7066" w:rsidP="000671B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52C27F0B" w14:textId="15247DB2" w:rsidR="0026636A" w:rsidRPr="00D5239E" w:rsidRDefault="006F7066" w:rsidP="000671B4">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0A909E31" w14:textId="55DCDBF0" w:rsidR="0026636A" w:rsidRPr="00D5239E" w:rsidRDefault="006F7066" w:rsidP="000671B4">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6911856E" w14:textId="5E9D77FA" w:rsidR="005B01A4" w:rsidRPr="00D5239E" w:rsidRDefault="006F7066" w:rsidP="000671B4">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6038BFAD" w14:textId="22B1FAAB" w:rsidR="005B01A4" w:rsidRPr="00D5239E" w:rsidRDefault="006F7066" w:rsidP="000671B4">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7C1E2D34" w14:textId="20EA2440" w:rsidR="005B01A4" w:rsidRPr="00D5239E" w:rsidRDefault="006F7066" w:rsidP="000671B4">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6636A" w:rsidRPr="00D5239E" w14:paraId="2C8536B2" w14:textId="77777777" w:rsidTr="00234516">
        <w:tc>
          <w:tcPr>
            <w:tcW w:w="2235" w:type="dxa"/>
            <w:shd w:val="clear" w:color="auto" w:fill="auto"/>
          </w:tcPr>
          <w:p w14:paraId="0A6B2571" w14:textId="1E034311" w:rsidR="0026636A" w:rsidRPr="00D5239E" w:rsidRDefault="0026636A" w:rsidP="00D5239E">
            <w:pPr>
              <w:spacing w:after="0" w:line="240" w:lineRule="auto"/>
              <w:rPr>
                <w:rFonts w:ascii="Arial Narrow" w:hAnsi="Arial Narrow" w:cs="Calibri"/>
                <w:sz w:val="20"/>
                <w:szCs w:val="20"/>
              </w:rPr>
            </w:pPr>
          </w:p>
        </w:tc>
        <w:tc>
          <w:tcPr>
            <w:tcW w:w="2268" w:type="dxa"/>
            <w:shd w:val="clear" w:color="auto" w:fill="auto"/>
          </w:tcPr>
          <w:p w14:paraId="4B881B9E" w14:textId="2BA3210F" w:rsidR="0026636A" w:rsidRPr="00D5239E" w:rsidRDefault="00BC3607" w:rsidP="0074335C">
            <w:pPr>
              <w:spacing w:after="0" w:line="240" w:lineRule="auto"/>
              <w:rPr>
                <w:rFonts w:ascii="Arial Narrow" w:hAnsi="Arial Narrow" w:cs="Calibri"/>
                <w:sz w:val="20"/>
                <w:szCs w:val="20"/>
              </w:rPr>
            </w:pPr>
            <w:r>
              <w:rPr>
                <w:rFonts w:ascii="Arial Narrow" w:hAnsi="Arial Narrow" w:cs="Calibri"/>
                <w:sz w:val="20"/>
                <w:szCs w:val="20"/>
              </w:rPr>
              <w:t>Resident: physical or mental abuse by the person visiting</w:t>
            </w:r>
          </w:p>
        </w:tc>
        <w:tc>
          <w:tcPr>
            <w:tcW w:w="5244" w:type="dxa"/>
            <w:shd w:val="clear" w:color="auto" w:fill="auto"/>
          </w:tcPr>
          <w:p w14:paraId="3F9865BF" w14:textId="53485B08" w:rsidR="0026636A" w:rsidRPr="00D5239E" w:rsidRDefault="0075046F" w:rsidP="00234516">
            <w:pPr>
              <w:spacing w:after="0" w:line="240" w:lineRule="auto"/>
              <w:ind w:left="34"/>
              <w:rPr>
                <w:rFonts w:ascii="Arial Narrow" w:hAnsi="Arial Narrow" w:cs="Calibri"/>
                <w:sz w:val="20"/>
                <w:szCs w:val="20"/>
              </w:rPr>
            </w:pPr>
            <w:r>
              <w:rPr>
                <w:rFonts w:ascii="Arial Narrow" w:hAnsi="Arial Narrow" w:cs="Calibri"/>
                <w:sz w:val="20"/>
                <w:szCs w:val="20"/>
              </w:rPr>
              <w:t>Visitor to have had an up to date CRB check; ideally visit in pairs; visitor to have attended relevant training/assessments to ensure good practice and to assess the suitability for the work by the volunteer, paying particular attention to any that have to work alone</w:t>
            </w:r>
            <w:r w:rsidR="00234516">
              <w:rPr>
                <w:rFonts w:ascii="Arial Narrow" w:hAnsi="Arial Narrow" w:cs="Calibri"/>
                <w:sz w:val="20"/>
                <w:szCs w:val="20"/>
              </w:rPr>
              <w:t xml:space="preserve">; feedback sought from the resident by a supervisor </w:t>
            </w:r>
            <w:r w:rsidR="0038722A">
              <w:rPr>
                <w:rFonts w:ascii="Arial Narrow" w:hAnsi="Arial Narrow" w:cs="Calibri"/>
                <w:sz w:val="20"/>
                <w:szCs w:val="20"/>
              </w:rPr>
              <w:t xml:space="preserve">when appropriate </w:t>
            </w:r>
            <w:bookmarkStart w:id="0" w:name="_GoBack"/>
            <w:bookmarkEnd w:id="0"/>
            <w:r w:rsidR="00234516">
              <w:rPr>
                <w:rFonts w:ascii="Arial Narrow" w:hAnsi="Arial Narrow" w:cs="Calibri"/>
                <w:sz w:val="20"/>
                <w:szCs w:val="20"/>
              </w:rPr>
              <w:t>about the behaviour of the volunteer; the suitability of the individual to be reviewed by a supervisor as frequently as necessary and not less than annually.</w:t>
            </w:r>
          </w:p>
        </w:tc>
        <w:tc>
          <w:tcPr>
            <w:tcW w:w="779" w:type="dxa"/>
            <w:shd w:val="clear" w:color="auto" w:fill="auto"/>
            <w:vAlign w:val="center"/>
          </w:tcPr>
          <w:p w14:paraId="54843910" w14:textId="517D7295" w:rsidR="0026636A" w:rsidRPr="00D5239E" w:rsidRDefault="006F706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6F8DEB22" w14:textId="340451CB" w:rsidR="0026636A" w:rsidRPr="00D5239E" w:rsidRDefault="006C0743"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32826CC4" w14:textId="24C2967D" w:rsidR="0026636A" w:rsidRPr="00D5239E" w:rsidRDefault="006C0743"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shd w:val="clear" w:color="auto" w:fill="auto"/>
            <w:vAlign w:val="center"/>
          </w:tcPr>
          <w:p w14:paraId="509366F4" w14:textId="581406A9" w:rsidR="0026636A" w:rsidRPr="00D5239E" w:rsidRDefault="006C0743"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41E190FB" w14:textId="135065A7" w:rsidR="0026636A" w:rsidRPr="00D5239E" w:rsidRDefault="006C0743"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0583CE12" w14:textId="0E586C7F" w:rsidR="0026636A" w:rsidRPr="00D5239E" w:rsidRDefault="006C0743"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bl>
    <w:p w14:paraId="5ABF8F64" w14:textId="0AEB40E5" w:rsidR="00B613AD" w:rsidRPr="00333B75" w:rsidRDefault="00333B75">
      <w:pPr>
        <w:rPr>
          <w:rFonts w:ascii="Arial Narrow" w:hAnsi="Arial Narrow" w:cs="Calibri"/>
          <w:color w:val="FF0000"/>
          <w:sz w:val="20"/>
          <w:szCs w:val="20"/>
        </w:rPr>
      </w:pPr>
      <w:r w:rsidRPr="006C1245">
        <w:rPr>
          <w:rFonts w:ascii="Arial Narrow" w:hAnsi="Arial Narrow" w:cs="Calibri"/>
          <w:color w:val="FF0000"/>
          <w:sz w:val="20"/>
          <w:szCs w:val="20"/>
        </w:rPr>
        <w:t xml:space="preserve">Any accidents </w:t>
      </w:r>
      <w:r>
        <w:rPr>
          <w:rFonts w:ascii="Arial Narrow" w:hAnsi="Arial Narrow" w:cs="Calibri"/>
          <w:color w:val="FF0000"/>
          <w:sz w:val="20"/>
          <w:szCs w:val="20"/>
        </w:rPr>
        <w:t xml:space="preserve">or incidents </w:t>
      </w:r>
      <w:r w:rsidRPr="006C1245">
        <w:rPr>
          <w:rFonts w:ascii="Arial Narrow" w:hAnsi="Arial Narrow" w:cs="Calibri"/>
          <w:color w:val="FF0000"/>
          <w:sz w:val="20"/>
          <w:szCs w:val="20"/>
        </w:rPr>
        <w:t>to be recorded in the accident book</w:t>
      </w: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4494AE30" w:rsidR="00E73E63" w:rsidRPr="00D5239E" w:rsidRDefault="004B270D"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57F80C33" w:rsidR="00E73E63" w:rsidRPr="00D5239E" w:rsidRDefault="004B270D"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4B00C03B" w:rsidR="00E73E63" w:rsidRPr="00D5239E" w:rsidRDefault="004B270D" w:rsidP="00D01D94">
            <w:pPr>
              <w:spacing w:after="0"/>
              <w:rPr>
                <w:rFonts w:cs="Calibri"/>
                <w:sz w:val="20"/>
              </w:rPr>
            </w:pPr>
            <w:r>
              <w:rPr>
                <w:rFonts w:cs="Calibri"/>
                <w:sz w:val="20"/>
              </w:rPr>
              <w:t>14.19.  16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lastRenderedPageBreak/>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18587" w14:textId="77777777" w:rsidR="006D389C" w:rsidRDefault="006D389C" w:rsidP="007E24C1">
      <w:pPr>
        <w:spacing w:after="0" w:line="240" w:lineRule="auto"/>
      </w:pPr>
      <w:r>
        <w:separator/>
      </w:r>
    </w:p>
  </w:endnote>
  <w:endnote w:type="continuationSeparator" w:id="0">
    <w:p w14:paraId="668A29E1" w14:textId="77777777" w:rsidR="006D389C" w:rsidRDefault="006D389C"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091D" w14:textId="77777777" w:rsidR="006D389C" w:rsidRDefault="006D389C" w:rsidP="007E24C1">
      <w:pPr>
        <w:spacing w:after="0" w:line="240" w:lineRule="auto"/>
      </w:pPr>
      <w:r>
        <w:separator/>
      </w:r>
    </w:p>
  </w:footnote>
  <w:footnote w:type="continuationSeparator" w:id="0">
    <w:p w14:paraId="218CF046" w14:textId="77777777" w:rsidR="006D389C" w:rsidRDefault="006D389C"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07FE0E7D"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CC6491">
      <w:rPr>
        <w:b/>
        <w:color w:val="4F81BD"/>
        <w:sz w:val="28"/>
      </w:rPr>
      <w:t>Visiting People in the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31989"/>
    <w:rsid w:val="0005665F"/>
    <w:rsid w:val="000671B4"/>
    <w:rsid w:val="00077DD8"/>
    <w:rsid w:val="000A77A5"/>
    <w:rsid w:val="001175C7"/>
    <w:rsid w:val="00125EF8"/>
    <w:rsid w:val="00180AF1"/>
    <w:rsid w:val="00184903"/>
    <w:rsid w:val="001922A5"/>
    <w:rsid w:val="001C369C"/>
    <w:rsid w:val="001F590D"/>
    <w:rsid w:val="00202519"/>
    <w:rsid w:val="00217EA1"/>
    <w:rsid w:val="00223D2D"/>
    <w:rsid w:val="00230790"/>
    <w:rsid w:val="00234516"/>
    <w:rsid w:val="0026636A"/>
    <w:rsid w:val="002A33A6"/>
    <w:rsid w:val="002D7EBE"/>
    <w:rsid w:val="002F4894"/>
    <w:rsid w:val="003064EE"/>
    <w:rsid w:val="00333B75"/>
    <w:rsid w:val="00372A20"/>
    <w:rsid w:val="003819AD"/>
    <w:rsid w:val="00385FED"/>
    <w:rsid w:val="0038722A"/>
    <w:rsid w:val="003C3109"/>
    <w:rsid w:val="00442F1D"/>
    <w:rsid w:val="004B1A7B"/>
    <w:rsid w:val="004B270D"/>
    <w:rsid w:val="0056318A"/>
    <w:rsid w:val="005810B3"/>
    <w:rsid w:val="00581BDE"/>
    <w:rsid w:val="00597250"/>
    <w:rsid w:val="005B01A4"/>
    <w:rsid w:val="005B4EED"/>
    <w:rsid w:val="00606913"/>
    <w:rsid w:val="00626378"/>
    <w:rsid w:val="006610F7"/>
    <w:rsid w:val="0068042E"/>
    <w:rsid w:val="006B2116"/>
    <w:rsid w:val="006C0743"/>
    <w:rsid w:val="006D389C"/>
    <w:rsid w:val="006D6E19"/>
    <w:rsid w:val="006F7066"/>
    <w:rsid w:val="00704048"/>
    <w:rsid w:val="0074335C"/>
    <w:rsid w:val="00745CA9"/>
    <w:rsid w:val="0075046F"/>
    <w:rsid w:val="00761B40"/>
    <w:rsid w:val="00790F6E"/>
    <w:rsid w:val="007E24C1"/>
    <w:rsid w:val="0081471E"/>
    <w:rsid w:val="00823A83"/>
    <w:rsid w:val="00824D9B"/>
    <w:rsid w:val="00837E31"/>
    <w:rsid w:val="00857A76"/>
    <w:rsid w:val="0086635B"/>
    <w:rsid w:val="0091332E"/>
    <w:rsid w:val="00941DB4"/>
    <w:rsid w:val="00970016"/>
    <w:rsid w:val="00985DB3"/>
    <w:rsid w:val="009951A9"/>
    <w:rsid w:val="009E53E8"/>
    <w:rsid w:val="009E5BC0"/>
    <w:rsid w:val="00A54E19"/>
    <w:rsid w:val="00A55182"/>
    <w:rsid w:val="00AA0458"/>
    <w:rsid w:val="00AA5020"/>
    <w:rsid w:val="00AA6D06"/>
    <w:rsid w:val="00B07EFD"/>
    <w:rsid w:val="00B1327A"/>
    <w:rsid w:val="00B31F2E"/>
    <w:rsid w:val="00B613AD"/>
    <w:rsid w:val="00B86AC6"/>
    <w:rsid w:val="00BA46A2"/>
    <w:rsid w:val="00BC3607"/>
    <w:rsid w:val="00BD22F3"/>
    <w:rsid w:val="00BF1DD8"/>
    <w:rsid w:val="00C310D9"/>
    <w:rsid w:val="00C33E92"/>
    <w:rsid w:val="00C50EB5"/>
    <w:rsid w:val="00C61C3A"/>
    <w:rsid w:val="00C932D0"/>
    <w:rsid w:val="00CA0194"/>
    <w:rsid w:val="00CC6491"/>
    <w:rsid w:val="00CD511A"/>
    <w:rsid w:val="00D01D94"/>
    <w:rsid w:val="00D13AFD"/>
    <w:rsid w:val="00D42428"/>
    <w:rsid w:val="00D5239E"/>
    <w:rsid w:val="00D533A7"/>
    <w:rsid w:val="00D533FB"/>
    <w:rsid w:val="00D932A0"/>
    <w:rsid w:val="00DC4A29"/>
    <w:rsid w:val="00DF27F7"/>
    <w:rsid w:val="00E15407"/>
    <w:rsid w:val="00E345A5"/>
    <w:rsid w:val="00E73E63"/>
    <w:rsid w:val="00E8773C"/>
    <w:rsid w:val="00E9367E"/>
    <w:rsid w:val="00EA45E7"/>
    <w:rsid w:val="00EA4F34"/>
    <w:rsid w:val="00EB4A89"/>
    <w:rsid w:val="00EC212F"/>
    <w:rsid w:val="00EF14AF"/>
    <w:rsid w:val="00EF3723"/>
    <w:rsid w:val="00F06063"/>
    <w:rsid w:val="00F16777"/>
    <w:rsid w:val="00F41EFC"/>
    <w:rsid w:val="00F60ADA"/>
    <w:rsid w:val="00F72871"/>
    <w:rsid w:val="00FA4E93"/>
    <w:rsid w:val="00FD52B4"/>
    <w:rsid w:val="00FD53D3"/>
    <w:rsid w:val="00FE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7C3A-37E8-43E0-8D4F-16C5BE8C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8</cp:revision>
  <dcterms:created xsi:type="dcterms:W3CDTF">2023-03-02T11:01:00Z</dcterms:created>
  <dcterms:modified xsi:type="dcterms:W3CDTF">2023-05-23T13:48:00Z</dcterms:modified>
</cp:coreProperties>
</file>